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Layout w:type="fixed"/>
        <w:tblLook w:val="04A0" w:firstRow="1" w:lastRow="0" w:firstColumn="1" w:lastColumn="0" w:noHBand="0" w:noVBand="1"/>
      </w:tblPr>
      <w:tblGrid>
        <w:gridCol w:w="1838"/>
        <w:gridCol w:w="142"/>
        <w:gridCol w:w="706"/>
        <w:gridCol w:w="1562"/>
        <w:gridCol w:w="847"/>
        <w:gridCol w:w="1137"/>
        <w:gridCol w:w="4224"/>
        <w:gridCol w:w="26"/>
        <w:gridCol w:w="8"/>
      </w:tblGrid>
      <w:tr w:rsidR="00714BE2" w:rsidRPr="00710540" w14:paraId="086DD740" w14:textId="77777777" w:rsidTr="1C92F0EF">
        <w:tc>
          <w:tcPr>
            <w:tcW w:w="1980" w:type="dxa"/>
            <w:gridSpan w:val="2"/>
            <w:shd w:val="clear" w:color="auto" w:fill="2F5496" w:themeFill="accent1" w:themeFillShade="BF"/>
          </w:tcPr>
          <w:p w14:paraId="0A517ADC" w14:textId="77777777" w:rsidR="00714BE2" w:rsidRPr="00710540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Plan: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72E2F8C0" w14:textId="528625F5" w:rsidR="00714BE2" w:rsidRPr="00710540" w:rsidRDefault="007542F7" w:rsidP="007542F7">
            <w:pPr>
              <w:spacing w:before="120" w:after="120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t>TRANSITION: From Pause to Purpose</w:t>
            </w:r>
          </w:p>
        </w:tc>
      </w:tr>
      <w:tr w:rsidR="00AF5E97" w:rsidRPr="00710540" w14:paraId="399C039B" w14:textId="77777777" w:rsidTr="1C92F0EF">
        <w:tc>
          <w:tcPr>
            <w:tcW w:w="1980" w:type="dxa"/>
            <w:gridSpan w:val="2"/>
            <w:shd w:val="clear" w:color="auto" w:fill="2F5496" w:themeFill="accent1" w:themeFillShade="BF"/>
          </w:tcPr>
          <w:p w14:paraId="0E72A50E" w14:textId="5730CA66" w:rsidR="00AF5E97" w:rsidRPr="008E1D31" w:rsidRDefault="00AF5E97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Authors</w:t>
            </w:r>
          </w:p>
        </w:tc>
        <w:tc>
          <w:tcPr>
            <w:tcW w:w="8510" w:type="dxa"/>
            <w:gridSpan w:val="7"/>
            <w:shd w:val="clear" w:color="auto" w:fill="FFFFFF" w:themeFill="background1"/>
          </w:tcPr>
          <w:p w14:paraId="5F32C427" w14:textId="59AE7C9B" w:rsidR="00AF5E97" w:rsidRDefault="00AF5E97" w:rsidP="007542F7">
            <w:pPr>
              <w:spacing w:before="120" w:after="120"/>
            </w:pPr>
            <w:hyperlink r:id="rId10" w:history="1">
              <w:r w:rsidRPr="002E06D8">
                <w:rPr>
                  <w:rStyle w:val="Hyperlink"/>
                </w:rPr>
                <w:t>Kerstin Wiesmay</w:t>
              </w:r>
              <w:r w:rsidR="002E06D8" w:rsidRPr="002E06D8">
                <w:rPr>
                  <w:rStyle w:val="Hyperlink"/>
                </w:rPr>
                <w:t>e</w:t>
              </w:r>
              <w:r w:rsidRPr="002E06D8">
                <w:rPr>
                  <w:rStyle w:val="Hyperlink"/>
                </w:rPr>
                <w:t>r</w:t>
              </w:r>
            </w:hyperlink>
            <w:r>
              <w:t xml:space="preserve"> &amp; </w:t>
            </w:r>
            <w:hyperlink r:id="rId11" w:history="1">
              <w:r w:rsidRPr="002E06D8">
                <w:rPr>
                  <w:rStyle w:val="Hyperlink"/>
                </w:rPr>
                <w:t>Isabell Grundschober</w:t>
              </w:r>
            </w:hyperlink>
          </w:p>
        </w:tc>
      </w:tr>
      <w:tr w:rsidR="00714BE2" w:rsidRPr="00710540" w14:paraId="6064602C" w14:textId="77777777" w:rsidTr="1C92F0EF">
        <w:tc>
          <w:tcPr>
            <w:tcW w:w="10490" w:type="dxa"/>
            <w:gridSpan w:val="9"/>
            <w:shd w:val="clear" w:color="auto" w:fill="F1A1C9"/>
          </w:tcPr>
          <w:p w14:paraId="78E766EC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Class Information</w:t>
            </w:r>
          </w:p>
        </w:tc>
      </w:tr>
      <w:tr w:rsidR="00714BE2" w:rsidRPr="00710540" w14:paraId="4D42C89E" w14:textId="77777777" w:rsidTr="1C92F0EF">
        <w:tc>
          <w:tcPr>
            <w:tcW w:w="1980" w:type="dxa"/>
            <w:gridSpan w:val="2"/>
            <w:shd w:val="clear" w:color="auto" w:fill="FCEAF3"/>
          </w:tcPr>
          <w:p w14:paraId="05CA5C51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Educator</w:t>
            </w:r>
          </w:p>
        </w:tc>
        <w:tc>
          <w:tcPr>
            <w:tcW w:w="2268" w:type="dxa"/>
            <w:gridSpan w:val="2"/>
            <w:shd w:val="clear" w:color="auto" w:fill="FCEAF3"/>
          </w:tcPr>
          <w:p w14:paraId="3F444B38" w14:textId="77777777" w:rsidR="00714BE2" w:rsidRPr="00710540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Time/Location</w:t>
            </w:r>
          </w:p>
        </w:tc>
        <w:tc>
          <w:tcPr>
            <w:tcW w:w="1984" w:type="dxa"/>
            <w:gridSpan w:val="2"/>
            <w:shd w:val="clear" w:color="auto" w:fill="FCEAF3"/>
            <w:hideMark/>
          </w:tcPr>
          <w:p w14:paraId="3A067B3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N</w:t>
            </w:r>
            <w:r w:rsidRPr="00710540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o.</w:t>
            </w: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 xml:space="preserve"> of Students</w:t>
            </w:r>
          </w:p>
        </w:tc>
        <w:tc>
          <w:tcPr>
            <w:tcW w:w="4258" w:type="dxa"/>
            <w:gridSpan w:val="3"/>
            <w:shd w:val="clear" w:color="auto" w:fill="FCEAF3"/>
            <w:hideMark/>
          </w:tcPr>
          <w:p w14:paraId="25B2891C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Student Needs (SEN, Differentiation, etc.)</w:t>
            </w:r>
          </w:p>
        </w:tc>
      </w:tr>
      <w:tr w:rsidR="00714BE2" w:rsidRPr="00710540" w14:paraId="1C026343" w14:textId="77777777" w:rsidTr="1C92F0EF">
        <w:tc>
          <w:tcPr>
            <w:tcW w:w="1980" w:type="dxa"/>
            <w:gridSpan w:val="2"/>
          </w:tcPr>
          <w:p w14:paraId="16174040" w14:textId="36391E7A" w:rsidR="00714BE2" w:rsidRPr="00710540" w:rsidRDefault="007542F7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1-2</w:t>
            </w:r>
          </w:p>
        </w:tc>
        <w:tc>
          <w:tcPr>
            <w:tcW w:w="2268" w:type="dxa"/>
            <w:gridSpan w:val="2"/>
          </w:tcPr>
          <w:p w14:paraId="15088B7A" w14:textId="16DC8753" w:rsidR="00714BE2" w:rsidRPr="00710540" w:rsidRDefault="007542F7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3h/face to face or blended learning</w:t>
            </w:r>
          </w:p>
        </w:tc>
        <w:tc>
          <w:tcPr>
            <w:tcW w:w="1984" w:type="dxa"/>
            <w:gridSpan w:val="2"/>
            <w:hideMark/>
          </w:tcPr>
          <w:p w14:paraId="03DB91F4" w14:textId="1945C2C6" w:rsidR="00714BE2" w:rsidRPr="006708EC" w:rsidRDefault="091BEF71" w:rsidP="1C92F0EF">
            <w:pPr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1C92F0EF">
              <w:rPr>
                <w:rFonts w:eastAsia="Times New Roman"/>
                <w:kern w:val="0"/>
                <w:sz w:val="20"/>
                <w:szCs w:val="20"/>
                <w:lang w:eastAsia="en-GB"/>
                <w14:ligatures w14:val="none"/>
              </w:rPr>
              <w:t>1-6</w:t>
            </w:r>
          </w:p>
        </w:tc>
        <w:tc>
          <w:tcPr>
            <w:tcW w:w="4258" w:type="dxa"/>
            <w:gridSpan w:val="3"/>
            <w:hideMark/>
          </w:tcPr>
          <w:p w14:paraId="197AEDD2" w14:textId="722E5EAA" w:rsidR="00714BE2" w:rsidRPr="006708EC" w:rsidRDefault="007542F7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542F7">
              <w:rPr>
                <w:sz w:val="20"/>
                <w:szCs w:val="20"/>
              </w:rPr>
              <w:t>Inclusive design with no prior experience in art or reflection required. Multiple expression modes (visual, verbal, written) support accessibility. Psychological safety emphasized.</w:t>
            </w:r>
          </w:p>
        </w:tc>
      </w:tr>
      <w:tr w:rsidR="00714BE2" w:rsidRPr="006708EC" w14:paraId="748F9843" w14:textId="77777777" w:rsidTr="1C92F0EF"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22A6D03E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Lesson Focus</w:t>
            </w:r>
          </w:p>
        </w:tc>
      </w:tr>
      <w:tr w:rsidR="008E1D31" w:rsidRPr="006708EC" w14:paraId="75002475" w14:textId="77777777" w:rsidTr="1C92F0EF">
        <w:tc>
          <w:tcPr>
            <w:tcW w:w="10490" w:type="dxa"/>
            <w:gridSpan w:val="9"/>
            <w:shd w:val="clear" w:color="auto" w:fill="FFFFFF" w:themeFill="background1"/>
          </w:tcPr>
          <w:p w14:paraId="11729D10" w14:textId="26F11509" w:rsidR="008E1D31" w:rsidRPr="007542F7" w:rsidRDefault="007542F7" w:rsidP="007542F7">
            <w:pPr>
              <w:rPr>
                <w:sz w:val="20"/>
                <w:szCs w:val="20"/>
              </w:rPr>
            </w:pPr>
            <w:r w:rsidRPr="007542F7">
              <w:rPr>
                <w:sz w:val="20"/>
                <w:szCs w:val="20"/>
              </w:rPr>
              <w:t>Exploring the role of intentional pauses in professional effectiveness through creative tasks and structured reflection using the Professional Noticing framework.</w:t>
            </w:r>
          </w:p>
        </w:tc>
      </w:tr>
      <w:tr w:rsidR="00714BE2" w:rsidRPr="006708EC" w14:paraId="4602E824" w14:textId="77777777" w:rsidTr="1C92F0EF">
        <w:trPr>
          <w:trHeight w:val="270"/>
        </w:trPr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11C4CD41" w14:textId="708B21B2" w:rsidR="00714BE2" w:rsidRPr="006708EC" w:rsidRDefault="0023105E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Intended Learning Outcomes</w:t>
            </w:r>
            <w:r w:rsidR="00714BE2" w:rsidRPr="008E1D31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: By the end of the lesson, students will be able to:</w:t>
            </w:r>
          </w:p>
        </w:tc>
      </w:tr>
      <w:tr w:rsidR="00714BE2" w:rsidRPr="006708EC" w14:paraId="5BF392C6" w14:textId="77777777" w:rsidTr="1C92F0EF">
        <w:trPr>
          <w:trHeight w:val="279"/>
        </w:trPr>
        <w:tc>
          <w:tcPr>
            <w:tcW w:w="10490" w:type="dxa"/>
            <w:gridSpan w:val="9"/>
            <w:hideMark/>
          </w:tcPr>
          <w:p w14:paraId="78908963" w14:textId="5703DBAB" w:rsidR="00714BE2" w:rsidRPr="007542F7" w:rsidRDefault="007542F7" w:rsidP="001471C6">
            <w:pPr>
              <w:rPr>
                <w:sz w:val="20"/>
                <w:szCs w:val="20"/>
              </w:rPr>
            </w:pPr>
            <w:r w:rsidRPr="007542F7">
              <w:rPr>
                <w:sz w:val="20"/>
                <w:szCs w:val="20"/>
              </w:rPr>
              <w:t>By the end of the session, participants will be able to:</w:t>
            </w:r>
            <w:r w:rsidRPr="007542F7">
              <w:rPr>
                <w:sz w:val="20"/>
                <w:szCs w:val="20"/>
              </w:rPr>
              <w:br/>
              <w:t>1. Describe how intentional pauses influence creative thinking and personal well-being.</w:t>
            </w:r>
            <w:r w:rsidRPr="007542F7">
              <w:rPr>
                <w:sz w:val="20"/>
                <w:szCs w:val="20"/>
              </w:rPr>
              <w:br/>
              <w:t>2. Apply the steps of the Professional Noticing framework during creative tasks.</w:t>
            </w:r>
            <w:r w:rsidRPr="007542F7">
              <w:rPr>
                <w:sz w:val="20"/>
                <w:szCs w:val="20"/>
              </w:rPr>
              <w:br/>
              <w:t xml:space="preserve">3. </w:t>
            </w:r>
            <w:proofErr w:type="spellStart"/>
            <w:r w:rsidRPr="007542F7">
              <w:rPr>
                <w:sz w:val="20"/>
                <w:szCs w:val="20"/>
              </w:rPr>
              <w:t>Analyze</w:t>
            </w:r>
            <w:proofErr w:type="spellEnd"/>
            <w:r w:rsidRPr="007542F7">
              <w:rPr>
                <w:sz w:val="20"/>
                <w:szCs w:val="20"/>
              </w:rPr>
              <w:t xml:space="preserve"> their own </w:t>
            </w:r>
            <w:proofErr w:type="spellStart"/>
            <w:r w:rsidRPr="007542F7">
              <w:rPr>
                <w:sz w:val="20"/>
                <w:szCs w:val="20"/>
              </w:rPr>
              <w:t>behavioral</w:t>
            </w:r>
            <w:proofErr w:type="spellEnd"/>
            <w:r w:rsidRPr="007542F7">
              <w:rPr>
                <w:sz w:val="20"/>
                <w:szCs w:val="20"/>
              </w:rPr>
              <w:t xml:space="preserve"> patterns based on observations made during the activity.</w:t>
            </w:r>
            <w:r w:rsidRPr="007542F7">
              <w:rPr>
                <w:sz w:val="20"/>
                <w:szCs w:val="20"/>
              </w:rPr>
              <w:br/>
              <w:t>4. Develop personalized strategies for integrating intentional pauses into their daily routines.</w:t>
            </w:r>
          </w:p>
        </w:tc>
      </w:tr>
      <w:tr w:rsidR="00714BE2" w:rsidRPr="006708EC" w14:paraId="1689C609" w14:textId="77777777" w:rsidTr="1C92F0EF">
        <w:trPr>
          <w:trHeight w:val="262"/>
        </w:trPr>
        <w:tc>
          <w:tcPr>
            <w:tcW w:w="10490" w:type="dxa"/>
            <w:gridSpan w:val="9"/>
            <w:shd w:val="clear" w:color="auto" w:fill="2F5496" w:themeFill="accent1" w:themeFillShade="BF"/>
            <w:hideMark/>
          </w:tcPr>
          <w:p w14:paraId="2E8745B4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Prior Knowledge (Any related topics or concepts students should be familiar with.)</w:t>
            </w:r>
          </w:p>
        </w:tc>
      </w:tr>
      <w:tr w:rsidR="00714BE2" w:rsidRPr="006708EC" w14:paraId="2BC49C43" w14:textId="77777777" w:rsidTr="1C92F0EF">
        <w:trPr>
          <w:trHeight w:val="271"/>
        </w:trPr>
        <w:tc>
          <w:tcPr>
            <w:tcW w:w="10490" w:type="dxa"/>
            <w:gridSpan w:val="9"/>
            <w:shd w:val="clear" w:color="auto" w:fill="FFFFFF" w:themeFill="background1"/>
            <w:hideMark/>
          </w:tcPr>
          <w:p w14:paraId="3E7F1139" w14:textId="15A7CA30" w:rsidR="00714BE2" w:rsidRPr="004C65F8" w:rsidRDefault="004C65F8" w:rsidP="00147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entrepreneurship or intrapreneurship. Otherwise, n</w:t>
            </w:r>
            <w:r w:rsidRPr="004C65F8">
              <w:rPr>
                <w:sz w:val="20"/>
                <w:szCs w:val="20"/>
              </w:rPr>
              <w:t>o prior knowledge required. Openness to reflection and self-awareness is beneficial.</w:t>
            </w:r>
          </w:p>
        </w:tc>
      </w:tr>
      <w:tr w:rsidR="00714BE2" w:rsidRPr="006708EC" w14:paraId="3F685629" w14:textId="77777777" w:rsidTr="1C92F0EF">
        <w:trPr>
          <w:gridAfter w:val="1"/>
          <w:wAfter w:w="8" w:type="dxa"/>
        </w:trPr>
        <w:tc>
          <w:tcPr>
            <w:tcW w:w="10482" w:type="dxa"/>
            <w:gridSpan w:val="8"/>
            <w:shd w:val="clear" w:color="auto" w:fill="2F5496" w:themeFill="accent1" w:themeFillShade="BF"/>
            <w:hideMark/>
          </w:tcPr>
          <w:p w14:paraId="30AB870A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Success Criteria: Students will demonstrate success by:</w:t>
            </w:r>
          </w:p>
        </w:tc>
      </w:tr>
      <w:tr w:rsidR="00B92F5A" w:rsidRPr="006708EC" w14:paraId="1A3314BC" w14:textId="77777777" w:rsidTr="1C92F0EF">
        <w:trPr>
          <w:gridAfter w:val="1"/>
          <w:wAfter w:w="8" w:type="dxa"/>
          <w:trHeight w:val="765"/>
        </w:trPr>
        <w:tc>
          <w:tcPr>
            <w:tcW w:w="10482" w:type="dxa"/>
            <w:gridSpan w:val="8"/>
            <w:shd w:val="clear" w:color="auto" w:fill="FFFFFF" w:themeFill="background1"/>
          </w:tcPr>
          <w:p w14:paraId="181FE223" w14:textId="143F1E5A" w:rsidR="00B92F5A" w:rsidRPr="00B92F5A" w:rsidRDefault="004C65F8" w:rsidP="1C92F0EF">
            <w:pPr>
              <w:spacing w:before="120" w:after="120"/>
              <w:rPr>
                <w:kern w:val="0"/>
                <w:sz w:val="20"/>
                <w:szCs w:val="20"/>
                <w:lang w:eastAsia="en-GB"/>
                <w14:ligatures w14:val="none"/>
              </w:rPr>
            </w:pPr>
            <w:r w:rsidRPr="1C92F0EF">
              <w:rPr>
                <w:sz w:val="20"/>
                <w:szCs w:val="20"/>
              </w:rPr>
              <w:t>• Completion of a structured reflection using the Professional Noticing framework</w:t>
            </w:r>
            <w:r w:rsidR="00B92F5A">
              <w:br/>
            </w:r>
            <w:r w:rsidRPr="1C92F0EF">
              <w:rPr>
                <w:sz w:val="20"/>
                <w:szCs w:val="20"/>
              </w:rPr>
              <w:t>• Documentation of personal insights in a reflection booklet or digital journal</w:t>
            </w:r>
            <w:r w:rsidR="00B92F5A">
              <w:br/>
            </w:r>
            <w:r w:rsidRPr="1C92F0EF">
              <w:rPr>
                <w:sz w:val="20"/>
                <w:szCs w:val="20"/>
              </w:rPr>
              <w:t>• Sharing of personal strategies or takeaways during the closing reflection</w:t>
            </w:r>
          </w:p>
        </w:tc>
      </w:tr>
      <w:tr w:rsidR="00714BE2" w:rsidRPr="006708EC" w14:paraId="4B399936" w14:textId="77777777" w:rsidTr="1C92F0EF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F1A1C9"/>
          </w:tcPr>
          <w:p w14:paraId="614FBE04" w14:textId="77777777" w:rsidR="00714BE2" w:rsidRPr="006708EC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Lesson Outline &amp; Timing</w:t>
            </w:r>
          </w:p>
        </w:tc>
      </w:tr>
      <w:tr w:rsidR="00714BE2" w:rsidRPr="006708EC" w14:paraId="0896C4FF" w14:textId="77777777" w:rsidTr="1C92F0EF">
        <w:trPr>
          <w:gridAfter w:val="2"/>
          <w:wAfter w:w="34" w:type="dxa"/>
        </w:trPr>
        <w:tc>
          <w:tcPr>
            <w:tcW w:w="1838" w:type="dxa"/>
            <w:shd w:val="clear" w:color="auto" w:fill="FCEAF3"/>
            <w:hideMark/>
          </w:tcPr>
          <w:p w14:paraId="7BB78CD2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Activity</w:t>
            </w:r>
          </w:p>
        </w:tc>
        <w:tc>
          <w:tcPr>
            <w:tcW w:w="848" w:type="dxa"/>
            <w:gridSpan w:val="2"/>
            <w:shd w:val="clear" w:color="auto" w:fill="FCEAF3"/>
            <w:hideMark/>
          </w:tcPr>
          <w:p w14:paraId="4BA25D2F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Duration</w:t>
            </w:r>
          </w:p>
        </w:tc>
        <w:tc>
          <w:tcPr>
            <w:tcW w:w="7770" w:type="dxa"/>
            <w:gridSpan w:val="4"/>
            <w:shd w:val="clear" w:color="auto" w:fill="FCEAF3"/>
            <w:hideMark/>
          </w:tcPr>
          <w:p w14:paraId="2EDDA885" w14:textId="77777777" w:rsidR="00714BE2" w:rsidRPr="006708EC" w:rsidRDefault="00714BE2" w:rsidP="001471C6">
            <w:pPr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6708EC"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</w:tr>
      <w:tr w:rsidR="00714BE2" w:rsidRPr="006708EC" w14:paraId="4E96FD60" w14:textId="77777777" w:rsidTr="1C92F0EF">
        <w:trPr>
          <w:gridAfter w:val="2"/>
          <w:wAfter w:w="34" w:type="dxa"/>
          <w:trHeight w:val="756"/>
        </w:trPr>
        <w:tc>
          <w:tcPr>
            <w:tcW w:w="1838" w:type="dxa"/>
            <w:shd w:val="clear" w:color="auto" w:fill="FCEAF3"/>
            <w:hideMark/>
          </w:tcPr>
          <w:p w14:paraId="1B10137A" w14:textId="16B275FE" w:rsidR="00714BE2" w:rsidRPr="006708EC" w:rsidRDefault="004C65F8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07F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Introduction &amp; Framing</w:t>
            </w:r>
          </w:p>
        </w:tc>
        <w:tc>
          <w:tcPr>
            <w:tcW w:w="848" w:type="dxa"/>
            <w:gridSpan w:val="2"/>
            <w:hideMark/>
          </w:tcPr>
          <w:p w14:paraId="52C7E292" w14:textId="7E91DDFB" w:rsidR="00714BE2" w:rsidRPr="005A6F88" w:rsidRDefault="005A6F88" w:rsidP="005A6F88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30 </w:t>
            </w:r>
            <w:r w:rsidR="00714BE2" w:rsidRPr="005A6F8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mins</w:t>
            </w:r>
          </w:p>
        </w:tc>
        <w:tc>
          <w:tcPr>
            <w:tcW w:w="7770" w:type="dxa"/>
            <w:gridSpan w:val="4"/>
            <w:hideMark/>
          </w:tcPr>
          <w:p w14:paraId="594BDE2B" w14:textId="3E4D0A60" w:rsidR="00714BE2" w:rsidRPr="005A6F88" w:rsidRDefault="005A6F88" w:rsidP="005A6F88">
            <w:pPr>
              <w:spacing w:after="160" w:line="259" w:lineRule="auto"/>
              <w:rPr>
                <w:rFonts w:eastAsia="Times New Roman"/>
                <w:lang w:val="en-US"/>
              </w:rPr>
            </w:pPr>
            <w:r w:rsidRPr="008D107F">
              <w:rPr>
                <w:rFonts w:eastAsia="Times New Roman"/>
                <w:sz w:val="20"/>
                <w:szCs w:val="20"/>
                <w:lang w:val="en-US"/>
              </w:rPr>
              <w:t>Overview of the session and the purpose of pausing for creativity, well-being, and professional clarity</w:t>
            </w:r>
            <w:r w:rsidRPr="005A6F88">
              <w:rPr>
                <w:rFonts w:eastAsia="Times New Roman"/>
                <w:sz w:val="20"/>
                <w:szCs w:val="20"/>
                <w:lang w:val="en-US"/>
              </w:rPr>
              <w:t xml:space="preserve">. </w:t>
            </w:r>
            <w:r w:rsidRPr="008D107F">
              <w:rPr>
                <w:rFonts w:eastAsia="Times New Roman"/>
                <w:sz w:val="20"/>
                <w:szCs w:val="20"/>
                <w:lang w:val="en-US"/>
              </w:rPr>
              <w:t xml:space="preserve">Introduction to core concepts: </w:t>
            </w:r>
            <w:r w:rsidRPr="008D107F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creative flow</w:t>
            </w:r>
            <w:r w:rsidRPr="008D107F">
              <w:rPr>
                <w:rFonts w:eastAsia="Times New Roman"/>
                <w:sz w:val="20"/>
                <w:szCs w:val="20"/>
                <w:lang w:val="en-US"/>
              </w:rPr>
              <w:t xml:space="preserve">, </w:t>
            </w:r>
            <w:r w:rsidRPr="008D107F"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>purposeful idleness</w:t>
            </w:r>
            <w:r w:rsidRPr="008D107F">
              <w:rPr>
                <w:rFonts w:eastAsia="Times New Roman"/>
                <w:sz w:val="20"/>
                <w:szCs w:val="20"/>
                <w:lang w:val="en-US"/>
              </w:rPr>
              <w:t>, and the role of "pause work" in entrepreneurial thinking</w:t>
            </w:r>
            <w:r w:rsidRPr="005A6F88">
              <w:rPr>
                <w:rFonts w:eastAsia="Times New Roman"/>
                <w:sz w:val="20"/>
                <w:szCs w:val="20"/>
                <w:lang w:val="en-US"/>
              </w:rPr>
              <w:t>.</w:t>
            </w:r>
          </w:p>
        </w:tc>
      </w:tr>
      <w:tr w:rsidR="00714BE2" w:rsidRPr="006708EC" w14:paraId="1C5BADC8" w14:textId="77777777" w:rsidTr="1C92F0EF">
        <w:trPr>
          <w:gridAfter w:val="2"/>
          <w:wAfter w:w="34" w:type="dxa"/>
          <w:trHeight w:val="488"/>
        </w:trPr>
        <w:tc>
          <w:tcPr>
            <w:tcW w:w="1838" w:type="dxa"/>
            <w:shd w:val="clear" w:color="auto" w:fill="FCEAF3"/>
            <w:hideMark/>
          </w:tcPr>
          <w:p w14:paraId="118318FB" w14:textId="4FC80C08" w:rsidR="00714BE2" w:rsidRPr="006708EC" w:rsidRDefault="005A6F88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07F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Creative Exploration – Artistic Activity</w:t>
            </w:r>
          </w:p>
        </w:tc>
        <w:tc>
          <w:tcPr>
            <w:tcW w:w="848" w:type="dxa"/>
            <w:gridSpan w:val="2"/>
            <w:hideMark/>
          </w:tcPr>
          <w:p w14:paraId="6D620523" w14:textId="29758DF2" w:rsidR="00714BE2" w:rsidRPr="006708EC" w:rsidRDefault="005A6F88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60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525627EA" w14:textId="392D79F7" w:rsidR="00682B9B" w:rsidRPr="00682B9B" w:rsidRDefault="00682B9B" w:rsidP="00682B9B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Participants choose from three low-pressure creative tasks: drawing, pottery, or simple construction.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They work independently and without performance expectations.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Participants are invited to consciously apply the Professional Noticing framework:</w:t>
            </w:r>
          </w:p>
          <w:p w14:paraId="71763ADD" w14:textId="7F8E2676" w:rsidR="00682B9B" w:rsidRPr="00682B9B" w:rsidRDefault="00682B9B" w:rsidP="00682B9B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Observe what’s happening</w:t>
            </w:r>
          </w:p>
          <w:p w14:paraId="76B80BA3" w14:textId="0B66822B" w:rsidR="00682B9B" w:rsidRPr="00682B9B" w:rsidRDefault="00682B9B" w:rsidP="00682B9B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Notice shifts or patterns</w:t>
            </w:r>
          </w:p>
          <w:p w14:paraId="52AB295F" w14:textId="769C647D" w:rsidR="00682B9B" w:rsidRPr="00682B9B" w:rsidRDefault="00682B9B" w:rsidP="00682B9B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Interpret their experience</w:t>
            </w:r>
          </w:p>
          <w:p w14:paraId="0B5F065E" w14:textId="77777777" w:rsidR="00682B9B" w:rsidRPr="00682B9B" w:rsidRDefault="00682B9B" w:rsidP="00682B9B">
            <w:pPr>
              <w:pStyle w:val="ListParagraph"/>
              <w:numPr>
                <w:ilvl w:val="0"/>
                <w:numId w:val="19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Respond in a meaningful or mindful way</w:t>
            </w:r>
          </w:p>
          <w:p w14:paraId="646BF325" w14:textId="57840A5B" w:rsidR="00714BE2" w:rsidRPr="005A6F88" w:rsidRDefault="00682B9B" w:rsidP="00682B9B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Facilitators or peer observers take notes on visible </w:t>
            </w:r>
            <w:proofErr w:type="spellStart"/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behaviors</w:t>
            </w:r>
            <w:proofErr w:type="spellEnd"/>
            <w:r w:rsidRPr="00682B9B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and engagement.</w:t>
            </w:r>
          </w:p>
        </w:tc>
      </w:tr>
      <w:tr w:rsidR="00714BE2" w:rsidRPr="006708EC" w14:paraId="215BB19C" w14:textId="77777777" w:rsidTr="1C92F0EF">
        <w:trPr>
          <w:gridAfter w:val="2"/>
          <w:wAfter w:w="34" w:type="dxa"/>
          <w:trHeight w:val="488"/>
        </w:trPr>
        <w:tc>
          <w:tcPr>
            <w:tcW w:w="1838" w:type="dxa"/>
            <w:shd w:val="clear" w:color="auto" w:fill="FCEAF3"/>
            <w:hideMark/>
          </w:tcPr>
          <w:p w14:paraId="79AC8DC9" w14:textId="145784D0" w:rsidR="00714BE2" w:rsidRPr="006708EC" w:rsidRDefault="000A52CC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07F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Guided Reflection &amp; Debrief</w:t>
            </w:r>
          </w:p>
        </w:tc>
        <w:tc>
          <w:tcPr>
            <w:tcW w:w="848" w:type="dxa"/>
            <w:gridSpan w:val="2"/>
            <w:hideMark/>
          </w:tcPr>
          <w:p w14:paraId="6BC85E5D" w14:textId="786BA3FA" w:rsidR="00714BE2" w:rsidRPr="006708EC" w:rsidRDefault="000A52CC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27548367" w14:textId="3C1F3604" w:rsidR="00A11BB8" w:rsidRPr="00A11BB8" w:rsidRDefault="00A11BB8" w:rsidP="00A11BB8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Participants reflect on their experience using prompts like:</w:t>
            </w:r>
          </w:p>
          <w:p w14:paraId="7041DCA8" w14:textId="6CB9ED3F" w:rsidR="00A11BB8" w:rsidRPr="00A11BB8" w:rsidRDefault="00A11BB8" w:rsidP="00A11BB8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How did you feel during the activity?</w:t>
            </w:r>
          </w:p>
          <w:p w14:paraId="29BB1BDC" w14:textId="57F6913E" w:rsidR="00A11BB8" w:rsidRPr="00A11BB8" w:rsidRDefault="00A11BB8" w:rsidP="00A11BB8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When did ideas or clarity emerge?</w:t>
            </w:r>
          </w:p>
          <w:p w14:paraId="0A288019" w14:textId="40386D64" w:rsidR="00A11BB8" w:rsidRPr="00A11BB8" w:rsidRDefault="00A11BB8" w:rsidP="00A11BB8">
            <w:pPr>
              <w:pStyle w:val="ListParagraph"/>
              <w:numPr>
                <w:ilvl w:val="0"/>
                <w:numId w:val="21"/>
              </w:num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How did the pause affect your process?</w:t>
            </w:r>
          </w:p>
          <w:p w14:paraId="00D909DA" w14:textId="1BD00736" w:rsidR="00714BE2" w:rsidRPr="006708EC" w:rsidRDefault="00A11BB8" w:rsidP="00A11BB8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They are guided to </w:t>
            </w:r>
            <w:proofErr w:type="spellStart"/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analyze</w:t>
            </w:r>
            <w:proofErr w:type="spellEnd"/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patterns in their </w:t>
            </w:r>
            <w:proofErr w:type="spellStart"/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behavior</w:t>
            </w:r>
            <w:proofErr w:type="spellEnd"/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and responses.</w:t>
            </w: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A11BB8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Observers share impressions to stimulate deeper noticing.</w:t>
            </w:r>
          </w:p>
        </w:tc>
      </w:tr>
      <w:tr w:rsidR="00714BE2" w:rsidRPr="006708EC" w14:paraId="16958AE8" w14:textId="77777777" w:rsidTr="1C92F0EF">
        <w:trPr>
          <w:gridAfter w:val="2"/>
          <w:wAfter w:w="34" w:type="dxa"/>
          <w:trHeight w:val="489"/>
        </w:trPr>
        <w:tc>
          <w:tcPr>
            <w:tcW w:w="1838" w:type="dxa"/>
            <w:shd w:val="clear" w:color="auto" w:fill="FCEAF3"/>
            <w:hideMark/>
          </w:tcPr>
          <w:p w14:paraId="55B9771A" w14:textId="16671B50" w:rsidR="00714BE2" w:rsidRPr="006708EC" w:rsidRDefault="000A52CC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A52CC"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Transferring Insights to Daily Practice</w:t>
            </w:r>
          </w:p>
        </w:tc>
        <w:tc>
          <w:tcPr>
            <w:tcW w:w="848" w:type="dxa"/>
            <w:gridSpan w:val="2"/>
            <w:hideMark/>
          </w:tcPr>
          <w:p w14:paraId="471B0616" w14:textId="3B966D9A" w:rsidR="00714BE2" w:rsidRPr="006708EC" w:rsidRDefault="000A52CC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="00714BE2" w:rsidRPr="006708EC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mins</w:t>
            </w:r>
          </w:p>
        </w:tc>
        <w:tc>
          <w:tcPr>
            <w:tcW w:w="7770" w:type="dxa"/>
            <w:gridSpan w:val="4"/>
            <w:hideMark/>
          </w:tcPr>
          <w:p w14:paraId="4C88A14B" w14:textId="77777777" w:rsidR="00BB5189" w:rsidRPr="00BB5189" w:rsidRDefault="00BB5189" w:rsidP="00BB5189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5189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Group dialogue: How can these insights be applied in your daily life or professional context?</w:t>
            </w:r>
          </w:p>
          <w:p w14:paraId="72C54FDB" w14:textId="30A0A518" w:rsidR="00714BE2" w:rsidRPr="006708EC" w:rsidRDefault="00BB5189" w:rsidP="00BB5189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5189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Participants are supported in developing concrete micro-strategies for pausing more purposefully, improving clarity, or managing energy.</w:t>
            </w:r>
          </w:p>
        </w:tc>
      </w:tr>
      <w:tr w:rsidR="000A52CC" w:rsidRPr="006708EC" w14:paraId="5CD62569" w14:textId="77777777" w:rsidTr="1C92F0EF">
        <w:trPr>
          <w:gridAfter w:val="2"/>
          <w:wAfter w:w="34" w:type="dxa"/>
          <w:trHeight w:val="489"/>
        </w:trPr>
        <w:tc>
          <w:tcPr>
            <w:tcW w:w="1838" w:type="dxa"/>
            <w:shd w:val="clear" w:color="auto" w:fill="FCEAF3"/>
          </w:tcPr>
          <w:p w14:paraId="3D7AF5EE" w14:textId="67A8729B" w:rsidR="000A52CC" w:rsidRPr="00BB5189" w:rsidRDefault="00BB5189" w:rsidP="001471C6">
            <w:pPr>
              <w:rPr>
                <w:rFonts w:eastAsia="Times New Roman" w:cstheme="minorHAnsi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8D107F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Closing: Reflection Booklet &amp; Visual Documentation</w:t>
            </w:r>
          </w:p>
        </w:tc>
        <w:tc>
          <w:tcPr>
            <w:tcW w:w="848" w:type="dxa"/>
            <w:gridSpan w:val="2"/>
          </w:tcPr>
          <w:p w14:paraId="31398D78" w14:textId="44EED26C" w:rsidR="000A52CC" w:rsidRPr="006708EC" w:rsidRDefault="00BB5189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30 mins</w:t>
            </w:r>
          </w:p>
        </w:tc>
        <w:tc>
          <w:tcPr>
            <w:tcW w:w="7770" w:type="dxa"/>
            <w:gridSpan w:val="4"/>
          </w:tcPr>
          <w:p w14:paraId="07F4FE8D" w14:textId="45A85FF4" w:rsidR="000A52CC" w:rsidRPr="006708EC" w:rsidRDefault="00BB5189" w:rsidP="00BB5189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B5189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Participants document key insights and possible next steps in a reflection booklet or digital </w:t>
            </w:r>
            <w:proofErr w:type="spellStart"/>
            <w:proofErr w:type="gramStart"/>
            <w:r w:rsidRPr="00BB5189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>journal.They</w:t>
            </w:r>
            <w:proofErr w:type="spellEnd"/>
            <w:proofErr w:type="gramEnd"/>
            <w:r w:rsidRPr="00BB5189"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  <w:t xml:space="preserve"> can include a visual element (e.g. sketch, Polaroid) that anchors the experience.</w:t>
            </w:r>
          </w:p>
        </w:tc>
      </w:tr>
      <w:tr w:rsidR="00714BE2" w:rsidRPr="006708EC" w14:paraId="234B8BE3" w14:textId="77777777" w:rsidTr="1C92F0EF">
        <w:trPr>
          <w:gridAfter w:val="2"/>
          <w:wAfter w:w="34" w:type="dxa"/>
        </w:trPr>
        <w:tc>
          <w:tcPr>
            <w:tcW w:w="10456" w:type="dxa"/>
            <w:gridSpan w:val="7"/>
            <w:shd w:val="clear" w:color="auto" w:fill="2F5496" w:themeFill="accent1" w:themeFillShade="BF"/>
            <w:hideMark/>
          </w:tcPr>
          <w:p w14:paraId="01FEB3FC" w14:textId="77777777" w:rsidR="00714BE2" w:rsidRPr="00710540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Resources Needed</w:t>
            </w:r>
          </w:p>
        </w:tc>
      </w:tr>
      <w:tr w:rsidR="00714BE2" w:rsidRPr="006708EC" w14:paraId="0DA5CF88" w14:textId="77777777" w:rsidTr="1C92F0EF">
        <w:trPr>
          <w:gridAfter w:val="2"/>
          <w:wAfter w:w="34" w:type="dxa"/>
        </w:trPr>
        <w:tc>
          <w:tcPr>
            <w:tcW w:w="5095" w:type="dxa"/>
            <w:gridSpan w:val="5"/>
            <w:hideMark/>
          </w:tcPr>
          <w:p w14:paraId="244245EE" w14:textId="39FA6408" w:rsidR="00714BE2" w:rsidRPr="00AF5E97" w:rsidRDefault="00BB5189" w:rsidP="001471C6">
            <w:pPr>
              <w:rPr>
                <w:sz w:val="20"/>
                <w:szCs w:val="20"/>
              </w:rPr>
            </w:pPr>
            <w:r w:rsidRPr="00AF5E97">
              <w:rPr>
                <w:sz w:val="20"/>
                <w:szCs w:val="20"/>
              </w:rPr>
              <w:t>• Creative materials (paper, clay, tools)</w:t>
            </w:r>
            <w:r w:rsidRPr="00AF5E97">
              <w:rPr>
                <w:sz w:val="20"/>
                <w:szCs w:val="20"/>
              </w:rPr>
              <w:br/>
              <w:t>• Reflection booklet or digital template</w:t>
            </w:r>
            <w:r w:rsidRPr="00AF5E97">
              <w:rPr>
                <w:sz w:val="20"/>
                <w:szCs w:val="20"/>
              </w:rPr>
              <w:br/>
              <w:t>• Professional Noticing handout</w:t>
            </w:r>
          </w:p>
        </w:tc>
        <w:tc>
          <w:tcPr>
            <w:tcW w:w="5361" w:type="dxa"/>
            <w:gridSpan w:val="2"/>
          </w:tcPr>
          <w:p w14:paraId="1D818A5D" w14:textId="73E50F90" w:rsidR="00714BE2" w:rsidRPr="00AF5E97" w:rsidRDefault="00AF5E97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5E97">
              <w:rPr>
                <w:sz w:val="20"/>
                <w:szCs w:val="20"/>
              </w:rPr>
              <w:t>• Optional: camera or Polaroid for visual memory anchors</w:t>
            </w:r>
            <w:r w:rsidRPr="00AF5E97">
              <w:rPr>
                <w:sz w:val="20"/>
                <w:szCs w:val="20"/>
              </w:rPr>
              <w:br/>
              <w:t>• Observation templates for facilitators or peers</w:t>
            </w:r>
          </w:p>
        </w:tc>
      </w:tr>
      <w:tr w:rsidR="00714BE2" w:rsidRPr="006708EC" w14:paraId="5D79FAD7" w14:textId="77777777" w:rsidTr="1C92F0EF">
        <w:trPr>
          <w:gridAfter w:val="1"/>
          <w:wAfter w:w="8" w:type="dxa"/>
        </w:trPr>
        <w:tc>
          <w:tcPr>
            <w:tcW w:w="5095" w:type="dxa"/>
            <w:gridSpan w:val="5"/>
            <w:shd w:val="clear" w:color="auto" w:fill="2F5496" w:themeFill="accent1" w:themeFillShade="BF"/>
            <w:hideMark/>
          </w:tcPr>
          <w:p w14:paraId="14FB9107" w14:textId="77777777" w:rsidR="00714BE2" w:rsidRPr="00B92F5A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bookmarkStart w:id="0" w:name="_Hlk197680656"/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Assessment Method</w:t>
            </w:r>
          </w:p>
        </w:tc>
        <w:tc>
          <w:tcPr>
            <w:tcW w:w="5387" w:type="dxa"/>
            <w:gridSpan w:val="3"/>
            <w:shd w:val="clear" w:color="auto" w:fill="2F5496" w:themeFill="accent1" w:themeFillShade="BF"/>
          </w:tcPr>
          <w:p w14:paraId="11F77617" w14:textId="77777777" w:rsidR="00714BE2" w:rsidRPr="00B92F5A" w:rsidRDefault="00714BE2" w:rsidP="001471C6">
            <w:pPr>
              <w:spacing w:before="120" w:after="120"/>
              <w:jc w:val="center"/>
              <w:rPr>
                <w:rFonts w:eastAsia="Times New Roman" w:cstheme="minorHAnsi"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</w:pPr>
            <w:r w:rsidRPr="00B92F5A">
              <w:rPr>
                <w:rFonts w:eastAsia="Times New Roman" w:cstheme="minorHAnsi"/>
                <w:b/>
                <w:bCs/>
                <w:color w:val="FFFFFF" w:themeColor="background1"/>
                <w:kern w:val="0"/>
                <w:sz w:val="22"/>
                <w:szCs w:val="22"/>
                <w:lang w:eastAsia="en-GB"/>
                <w14:ligatures w14:val="none"/>
              </w:rPr>
              <w:t>Homework / Follow-up Task (Optional)</w:t>
            </w:r>
          </w:p>
        </w:tc>
      </w:tr>
      <w:bookmarkEnd w:id="0"/>
      <w:tr w:rsidR="00714BE2" w:rsidRPr="006708EC" w14:paraId="15571E6E" w14:textId="77777777" w:rsidTr="1C92F0EF">
        <w:trPr>
          <w:gridAfter w:val="1"/>
          <w:wAfter w:w="8" w:type="dxa"/>
        </w:trPr>
        <w:tc>
          <w:tcPr>
            <w:tcW w:w="5095" w:type="dxa"/>
            <w:gridSpan w:val="5"/>
            <w:hideMark/>
          </w:tcPr>
          <w:p w14:paraId="4835206B" w14:textId="77777777" w:rsidR="00AF5E97" w:rsidRPr="00AF5E97" w:rsidRDefault="00AF5E97" w:rsidP="00AF5E97">
            <w:pPr>
              <w:rPr>
                <w:sz w:val="20"/>
                <w:szCs w:val="20"/>
              </w:rPr>
            </w:pPr>
            <w:r w:rsidRPr="00AF5E97">
              <w:rPr>
                <w:sz w:val="20"/>
                <w:szCs w:val="20"/>
              </w:rPr>
              <w:t>Formative assessment:</w:t>
            </w:r>
          </w:p>
          <w:p w14:paraId="0BF2621B" w14:textId="77777777" w:rsidR="00AF5E97" w:rsidRPr="00AF5E97" w:rsidRDefault="00AF5E97" w:rsidP="00AF5E9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AF5E97">
              <w:rPr>
                <w:sz w:val="20"/>
                <w:szCs w:val="20"/>
              </w:rPr>
              <w:t>Structured reflection using the noticing framework</w:t>
            </w:r>
          </w:p>
          <w:p w14:paraId="3A033545" w14:textId="77777777" w:rsidR="00AF5E97" w:rsidRPr="00AF5E97" w:rsidRDefault="00AF5E97" w:rsidP="00AF5E97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 w:rsidRPr="00AF5E97">
              <w:rPr>
                <w:sz w:val="20"/>
                <w:szCs w:val="20"/>
              </w:rPr>
              <w:t>Analysis entry in reflection booklet</w:t>
            </w:r>
          </w:p>
          <w:p w14:paraId="2B98E392" w14:textId="300B3BD5" w:rsidR="00714BE2" w:rsidRPr="00AF5E97" w:rsidRDefault="00AF5E97" w:rsidP="00AF5E97">
            <w:pPr>
              <w:pStyle w:val="ListParagraph"/>
              <w:numPr>
                <w:ilvl w:val="0"/>
                <w:numId w:val="25"/>
              </w:numPr>
            </w:pPr>
            <w:r w:rsidRPr="00AF5E97">
              <w:rPr>
                <w:sz w:val="20"/>
                <w:szCs w:val="20"/>
              </w:rPr>
              <w:t>Personal action plan or strategy note for integrating pause practices</w:t>
            </w:r>
          </w:p>
        </w:tc>
        <w:tc>
          <w:tcPr>
            <w:tcW w:w="5387" w:type="dxa"/>
            <w:gridSpan w:val="3"/>
          </w:tcPr>
          <w:p w14:paraId="50AA1E20" w14:textId="77777777" w:rsidR="00AF5E97" w:rsidRPr="00AF5E97" w:rsidRDefault="00AF5E97" w:rsidP="00AF5E97">
            <w:pPr>
              <w:rPr>
                <w:sz w:val="20"/>
                <w:szCs w:val="20"/>
              </w:rPr>
            </w:pPr>
            <w:r w:rsidRPr="00AF5E97">
              <w:rPr>
                <w:sz w:val="20"/>
                <w:szCs w:val="20"/>
              </w:rPr>
              <w:t>Participants are encouraged to take one mindful pause during the following week and document their reflections.</w:t>
            </w:r>
          </w:p>
          <w:p w14:paraId="235F2D3C" w14:textId="07B52B6D" w:rsidR="00714BE2" w:rsidRPr="00714BE2" w:rsidRDefault="00714BE2" w:rsidP="001471C6">
            <w:pPr>
              <w:rPr>
                <w:rFonts w:eastAsia="Times New Roman" w:cstheme="minorHAnsi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9CC5973" w14:textId="48400AAD" w:rsidR="0010016D" w:rsidRDefault="0010016D" w:rsidP="00D77D88">
      <w:pPr>
        <w:spacing w:beforeAutospacing="1"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□ Have you considered accessibility (e.g., plain language, colour contrast, captions)?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br/>
        <w:t xml:space="preserve">□ Does this </w:t>
      </w:r>
      <w:r w:rsidR="006D06DC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lesson</w:t>
      </w:r>
      <w:r w:rsidRPr="0010016D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 xml:space="preserve"> use inclusive examples and language</w:t>
      </w:r>
      <w:r w:rsidRPr="0010016D">
        <w:rPr>
          <w:rFonts w:eastAsia="Times New Roman" w:cstheme="minorHAnsi"/>
          <w:kern w:val="0"/>
          <w:lang w:eastAsia="en-GB"/>
          <w14:ligatures w14:val="none"/>
        </w:rPr>
        <w:t>?</w:t>
      </w:r>
    </w:p>
    <w:p w14:paraId="66845BB5" w14:textId="2DA9B6E6" w:rsidR="00714BE2" w:rsidRPr="00AF5E97" w:rsidRDefault="00D77D88" w:rsidP="00AF5E97">
      <w:pPr>
        <w:spacing w:after="0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D77D88">
        <w:rPr>
          <w:rFonts w:eastAsia="Times New Roman" w:cstheme="minorHAnsi"/>
          <w:kern w:val="0"/>
          <w:lang w:eastAsia="en-GB"/>
          <w14:ligatures w14:val="none"/>
        </w:rPr>
        <w:t xml:space="preserve">□ </w:t>
      </w:r>
      <w:r w:rsidRPr="00D77D88">
        <w:rPr>
          <w:rFonts w:eastAsia="Times New Roman" w:cstheme="minorHAnsi"/>
          <w:kern w:val="0"/>
          <w:sz w:val="22"/>
          <w:szCs w:val="22"/>
          <w:lang w:eastAsia="en-GB"/>
          <w14:ligatures w14:val="none"/>
        </w:rPr>
        <w:t>Have you respected copyright and licensing requirements for all media, texts and external resources used?</w:t>
      </w:r>
    </w:p>
    <w:sectPr w:rsidR="00714BE2" w:rsidRPr="00AF5E97" w:rsidSect="00F20261">
      <w:headerReference w:type="default" r:id="rId12"/>
      <w:footerReference w:type="default" r:id="rId13"/>
      <w:pgSz w:w="11906" w:h="16838"/>
      <w:pgMar w:top="1135" w:right="720" w:bottom="720" w:left="72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FF20" w14:textId="77777777" w:rsidR="00511512" w:rsidRDefault="00511512" w:rsidP="00714BE2">
      <w:pPr>
        <w:spacing w:after="0" w:line="240" w:lineRule="auto"/>
      </w:pPr>
      <w:r>
        <w:separator/>
      </w:r>
    </w:p>
  </w:endnote>
  <w:endnote w:type="continuationSeparator" w:id="0">
    <w:p w14:paraId="059B7AE1" w14:textId="77777777" w:rsidR="00511512" w:rsidRDefault="00511512" w:rsidP="00714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9759" w14:textId="15B98142" w:rsidR="00714BE2" w:rsidRPr="0023105E" w:rsidRDefault="0023105E" w:rsidP="00C50467">
    <w:pPr>
      <w:pStyle w:val="NormalWeb"/>
      <w:spacing w:before="0" w:beforeAutospacing="0" w:after="0" w:afterAutospacing="0"/>
      <w:rPr>
        <w:sz w:val="16"/>
        <w:szCs w:val="16"/>
      </w:rPr>
    </w:pPr>
    <w:r w:rsidRPr="0023105E"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7728" behindDoc="0" locked="0" layoutInCell="1" allowOverlap="1" wp14:anchorId="710EE8B2" wp14:editId="0664DD0F">
          <wp:simplePos x="0" y="0"/>
          <wp:positionH relativeFrom="column">
            <wp:posOffset>105410</wp:posOffset>
          </wp:positionH>
          <wp:positionV relativeFrom="paragraph">
            <wp:posOffset>339725</wp:posOffset>
          </wp:positionV>
          <wp:extent cx="1940169" cy="258658"/>
          <wp:effectExtent l="0" t="0" r="3175" b="8255"/>
          <wp:wrapTopAndBottom/>
          <wp:docPr id="10608614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372" cy="2657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10D1" w:rsidRPr="0023105E">
      <w:rPr>
        <w:noProof/>
        <w:sz w:val="16"/>
        <w:szCs w:val="16"/>
      </w:rPr>
      <w:drawing>
        <wp:anchor distT="0" distB="0" distL="114300" distR="114300" simplePos="0" relativeHeight="251665920" behindDoc="0" locked="0" layoutInCell="1" allowOverlap="1" wp14:anchorId="1A1A2EFD" wp14:editId="78EBBAA9">
          <wp:simplePos x="0" y="0"/>
          <wp:positionH relativeFrom="column">
            <wp:posOffset>5016500</wp:posOffset>
          </wp:positionH>
          <wp:positionV relativeFrom="paragraph">
            <wp:posOffset>300355</wp:posOffset>
          </wp:positionV>
          <wp:extent cx="1598910" cy="335492"/>
          <wp:effectExtent l="0" t="0" r="1905" b="7620"/>
          <wp:wrapTopAndBottom/>
          <wp:docPr id="19261847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10" cy="335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20261" w:rsidRPr="0023105E">
      <w:rPr>
        <w:rFonts w:asciiTheme="minorHAnsi" w:hAnsiTheme="minorHAnsi" w:cstheme="minorHAnsi"/>
        <w:sz w:val="16"/>
        <w:szCs w:val="16"/>
      </w:rPr>
      <w:t xml:space="preserve">Professional Noticing OER © 2024 by PROMISE Project (2022-1-FI01-KA220-HED-000087761) is licensed under CC BY-SA 4.0. To view a copy of this license, visit </w:t>
    </w:r>
    <w:hyperlink r:id="rId3" w:tgtFrame="_blank" w:tooltip="https://creativecommons.org/licenses/by-sa/4.0/" w:history="1">
      <w:r w:rsidR="00F20261" w:rsidRPr="0023105E">
        <w:rPr>
          <w:rStyle w:val="Hyperlink"/>
          <w:rFonts w:asciiTheme="minorHAnsi" w:eastAsiaTheme="majorEastAsia" w:hAnsiTheme="minorHAnsi" w:cstheme="minorHAnsi"/>
          <w:sz w:val="16"/>
          <w:szCs w:val="16"/>
        </w:rPr>
        <w:t>https://creativecommons.org/licenses/by-sa/4.0/</w:t>
      </w:r>
    </w:hyperlink>
  </w:p>
  <w:p w14:paraId="423F3365" w14:textId="05F849F9" w:rsidR="00714BE2" w:rsidRDefault="00714B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43F21" w14:textId="77777777" w:rsidR="00511512" w:rsidRDefault="00511512" w:rsidP="00714BE2">
      <w:pPr>
        <w:spacing w:after="0" w:line="240" w:lineRule="auto"/>
      </w:pPr>
      <w:r>
        <w:separator/>
      </w:r>
    </w:p>
  </w:footnote>
  <w:footnote w:type="continuationSeparator" w:id="0">
    <w:p w14:paraId="741C3857" w14:textId="77777777" w:rsidR="00511512" w:rsidRDefault="00511512" w:rsidP="00714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AA3D6" w14:textId="7E111055" w:rsidR="00714BE2" w:rsidRDefault="00714BE2" w:rsidP="00714BE2">
    <w:pPr>
      <w:pStyle w:val="Header"/>
      <w:jc w:val="right"/>
    </w:pPr>
    <w:r>
      <w:rPr>
        <w:noProof/>
      </w:rPr>
      <w:drawing>
        <wp:inline distT="0" distB="0" distL="0" distR="0" wp14:anchorId="13622818" wp14:editId="00F3DD3E">
          <wp:extent cx="607838" cy="539783"/>
          <wp:effectExtent l="0" t="0" r="1905" b="0"/>
          <wp:docPr id="11377312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3" cy="5449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8F"/>
    <w:multiLevelType w:val="multilevel"/>
    <w:tmpl w:val="2D8C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F3C8B"/>
    <w:multiLevelType w:val="multilevel"/>
    <w:tmpl w:val="B55A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36A5A"/>
    <w:multiLevelType w:val="multilevel"/>
    <w:tmpl w:val="BF7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F46522"/>
    <w:multiLevelType w:val="multilevel"/>
    <w:tmpl w:val="1506F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37158"/>
    <w:multiLevelType w:val="hybridMultilevel"/>
    <w:tmpl w:val="32CACDF0"/>
    <w:lvl w:ilvl="0" w:tplc="270EAFBA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90C77"/>
    <w:multiLevelType w:val="multilevel"/>
    <w:tmpl w:val="DEA0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EA4C88"/>
    <w:multiLevelType w:val="hybridMultilevel"/>
    <w:tmpl w:val="DF287C00"/>
    <w:lvl w:ilvl="0" w:tplc="270EAFBA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54311"/>
    <w:multiLevelType w:val="multilevel"/>
    <w:tmpl w:val="255CA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F84823"/>
    <w:multiLevelType w:val="hybridMultilevel"/>
    <w:tmpl w:val="6F7A30BE"/>
    <w:lvl w:ilvl="0" w:tplc="270EAFBA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C6D07"/>
    <w:multiLevelType w:val="hybridMultilevel"/>
    <w:tmpl w:val="D4FAF85E"/>
    <w:lvl w:ilvl="0" w:tplc="D76244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16DD3"/>
    <w:multiLevelType w:val="hybridMultilevel"/>
    <w:tmpl w:val="CC6CF6BA"/>
    <w:lvl w:ilvl="0" w:tplc="D76244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1402E"/>
    <w:multiLevelType w:val="hybridMultilevel"/>
    <w:tmpl w:val="116CCEFE"/>
    <w:lvl w:ilvl="0" w:tplc="D25CC99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14F96"/>
    <w:multiLevelType w:val="hybridMultilevel"/>
    <w:tmpl w:val="DF60F0B2"/>
    <w:lvl w:ilvl="0" w:tplc="270EAFBA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C1CEB"/>
    <w:multiLevelType w:val="multilevel"/>
    <w:tmpl w:val="411C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55CAA"/>
    <w:multiLevelType w:val="multilevel"/>
    <w:tmpl w:val="76E6D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51660D"/>
    <w:multiLevelType w:val="hybridMultilevel"/>
    <w:tmpl w:val="99EEE6B4"/>
    <w:lvl w:ilvl="0" w:tplc="270EAFBA">
      <w:numFmt w:val="bullet"/>
      <w:lvlText w:val=""/>
      <w:lvlJc w:val="left"/>
      <w:pPr>
        <w:ind w:left="1080" w:hanging="72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37E9E"/>
    <w:multiLevelType w:val="multilevel"/>
    <w:tmpl w:val="9102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892985"/>
    <w:multiLevelType w:val="hybridMultilevel"/>
    <w:tmpl w:val="2F402760"/>
    <w:lvl w:ilvl="0" w:tplc="D25CC99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9662B"/>
    <w:multiLevelType w:val="multilevel"/>
    <w:tmpl w:val="A06E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2A596D"/>
    <w:multiLevelType w:val="multilevel"/>
    <w:tmpl w:val="F5B4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747C4C"/>
    <w:multiLevelType w:val="multilevel"/>
    <w:tmpl w:val="9CB4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C42F31"/>
    <w:multiLevelType w:val="hybridMultilevel"/>
    <w:tmpl w:val="464EA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1792B"/>
    <w:multiLevelType w:val="multilevel"/>
    <w:tmpl w:val="798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70193D"/>
    <w:multiLevelType w:val="hybridMultilevel"/>
    <w:tmpl w:val="EA22E048"/>
    <w:lvl w:ilvl="0" w:tplc="D76244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57CD"/>
    <w:multiLevelType w:val="multilevel"/>
    <w:tmpl w:val="32ECF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213276">
    <w:abstractNumId w:val="7"/>
  </w:num>
  <w:num w:numId="2" w16cid:durableId="554586672">
    <w:abstractNumId w:val="18"/>
  </w:num>
  <w:num w:numId="3" w16cid:durableId="673531751">
    <w:abstractNumId w:val="1"/>
  </w:num>
  <w:num w:numId="4" w16cid:durableId="1626498555">
    <w:abstractNumId w:val="0"/>
  </w:num>
  <w:num w:numId="5" w16cid:durableId="457798740">
    <w:abstractNumId w:val="3"/>
  </w:num>
  <w:num w:numId="6" w16cid:durableId="1993673034">
    <w:abstractNumId w:val="16"/>
  </w:num>
  <w:num w:numId="7" w16cid:durableId="1077748342">
    <w:abstractNumId w:val="14"/>
  </w:num>
  <w:num w:numId="8" w16cid:durableId="784812187">
    <w:abstractNumId w:val="20"/>
  </w:num>
  <w:num w:numId="9" w16cid:durableId="2099323480">
    <w:abstractNumId w:val="2"/>
  </w:num>
  <w:num w:numId="10" w16cid:durableId="1077744605">
    <w:abstractNumId w:val="19"/>
  </w:num>
  <w:num w:numId="11" w16cid:durableId="2134710769">
    <w:abstractNumId w:val="22"/>
  </w:num>
  <w:num w:numId="12" w16cid:durableId="287592410">
    <w:abstractNumId w:val="24"/>
  </w:num>
  <w:num w:numId="13" w16cid:durableId="368074274">
    <w:abstractNumId w:val="13"/>
  </w:num>
  <w:num w:numId="14" w16cid:durableId="857426683">
    <w:abstractNumId w:val="5"/>
  </w:num>
  <w:num w:numId="15" w16cid:durableId="1241675703">
    <w:abstractNumId w:val="11"/>
  </w:num>
  <w:num w:numId="16" w16cid:durableId="922685312">
    <w:abstractNumId w:val="17"/>
  </w:num>
  <w:num w:numId="17" w16cid:durableId="7483720">
    <w:abstractNumId w:val="21"/>
  </w:num>
  <w:num w:numId="18" w16cid:durableId="1118838444">
    <w:abstractNumId w:val="10"/>
  </w:num>
  <w:num w:numId="19" w16cid:durableId="1958872942">
    <w:abstractNumId w:val="9"/>
  </w:num>
  <w:num w:numId="20" w16cid:durableId="1400857963">
    <w:abstractNumId w:val="23"/>
  </w:num>
  <w:num w:numId="21" w16cid:durableId="750925594">
    <w:abstractNumId w:val="6"/>
  </w:num>
  <w:num w:numId="22" w16cid:durableId="105590151">
    <w:abstractNumId w:val="15"/>
  </w:num>
  <w:num w:numId="23" w16cid:durableId="1028336855">
    <w:abstractNumId w:val="12"/>
  </w:num>
  <w:num w:numId="24" w16cid:durableId="1962835790">
    <w:abstractNumId w:val="8"/>
  </w:num>
  <w:num w:numId="25" w16cid:durableId="25954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DB4"/>
    <w:rsid w:val="000A52CC"/>
    <w:rsid w:val="000D2128"/>
    <w:rsid w:val="000F4984"/>
    <w:rsid w:val="000F6503"/>
    <w:rsid w:val="0010016D"/>
    <w:rsid w:val="001B2E1A"/>
    <w:rsid w:val="0023105E"/>
    <w:rsid w:val="0027562E"/>
    <w:rsid w:val="002D1CA9"/>
    <w:rsid w:val="002E06D8"/>
    <w:rsid w:val="002E328A"/>
    <w:rsid w:val="002F1215"/>
    <w:rsid w:val="003410D1"/>
    <w:rsid w:val="003A27E1"/>
    <w:rsid w:val="004C65F8"/>
    <w:rsid w:val="00511512"/>
    <w:rsid w:val="00541C50"/>
    <w:rsid w:val="005855CC"/>
    <w:rsid w:val="005A6F88"/>
    <w:rsid w:val="005B0166"/>
    <w:rsid w:val="006708EC"/>
    <w:rsid w:val="00682B9B"/>
    <w:rsid w:val="006B0DB4"/>
    <w:rsid w:val="006D06DC"/>
    <w:rsid w:val="00710540"/>
    <w:rsid w:val="00714BE2"/>
    <w:rsid w:val="007410EE"/>
    <w:rsid w:val="007542F7"/>
    <w:rsid w:val="007763EE"/>
    <w:rsid w:val="007B5F6B"/>
    <w:rsid w:val="008E1D31"/>
    <w:rsid w:val="009074EB"/>
    <w:rsid w:val="00916C17"/>
    <w:rsid w:val="009616AB"/>
    <w:rsid w:val="009E1CD4"/>
    <w:rsid w:val="00A11BB8"/>
    <w:rsid w:val="00AF5E97"/>
    <w:rsid w:val="00B92F5A"/>
    <w:rsid w:val="00BB5189"/>
    <w:rsid w:val="00BF7153"/>
    <w:rsid w:val="00C50467"/>
    <w:rsid w:val="00D77D88"/>
    <w:rsid w:val="00E21540"/>
    <w:rsid w:val="00EE6A8F"/>
    <w:rsid w:val="00F20261"/>
    <w:rsid w:val="00FA2173"/>
    <w:rsid w:val="091BEF71"/>
    <w:rsid w:val="1C92F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F637FE"/>
  <w15:chartTrackingRefBased/>
  <w15:docId w15:val="{10953775-048E-4B29-BCF3-A61FA6878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CC"/>
  </w:style>
  <w:style w:type="paragraph" w:styleId="Heading1">
    <w:name w:val="heading 1"/>
    <w:basedOn w:val="Normal"/>
    <w:next w:val="Normal"/>
    <w:link w:val="Heading1Char"/>
    <w:uiPriority w:val="9"/>
    <w:qFormat/>
    <w:rsid w:val="006B0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D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D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D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0D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D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0D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0D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0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0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0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D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D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0D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DB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7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BE2"/>
  </w:style>
  <w:style w:type="paragraph" w:styleId="Footer">
    <w:name w:val="footer"/>
    <w:basedOn w:val="Normal"/>
    <w:link w:val="FooterChar"/>
    <w:uiPriority w:val="99"/>
    <w:unhideWhenUsed/>
    <w:rsid w:val="00714B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BE2"/>
  </w:style>
  <w:style w:type="paragraph" w:styleId="NormalWeb">
    <w:name w:val="Normal (Web)"/>
    <w:basedOn w:val="Normal"/>
    <w:uiPriority w:val="99"/>
    <w:unhideWhenUsed/>
    <w:rsid w:val="0071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E1D3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sabellgru.e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bjekt-gestaltung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sa/4.0/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cd2b4-29a4-4c64-83a8-3a562a561b0f">
      <Terms xmlns="http://schemas.microsoft.com/office/infopath/2007/PartnerControls"/>
    </lcf76f155ced4ddcb4097134ff3c332f>
    <TaxCatchAll xmlns="ff7b1e22-ab07-48f5-8dbb-15cfb4d2a0b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38FF504B02D347BC6CD706FF35F33C" ma:contentTypeVersion="13" ma:contentTypeDescription="Crear nuevo documento." ma:contentTypeScope="" ma:versionID="8a9efda0745441f5de6f918ea942ccb0">
  <xsd:schema xmlns:xsd="http://www.w3.org/2001/XMLSchema" xmlns:xs="http://www.w3.org/2001/XMLSchema" xmlns:p="http://schemas.microsoft.com/office/2006/metadata/properties" xmlns:ns2="383cd2b4-29a4-4c64-83a8-3a562a561b0f" xmlns:ns3="ff7b1e22-ab07-48f5-8dbb-15cfb4d2a0b8" targetNamespace="http://schemas.microsoft.com/office/2006/metadata/properties" ma:root="true" ma:fieldsID="2dfd78daa465503d89cd7f5128b2eea4" ns2:_="" ns3:_="">
    <xsd:import namespace="383cd2b4-29a4-4c64-83a8-3a562a561b0f"/>
    <xsd:import namespace="ff7b1e22-ab07-48f5-8dbb-15cfb4d2a0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cd2b4-29a4-4c64-83a8-3a562a561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35ac457-02b5-41bc-8fab-34e9851440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b1e22-ab07-48f5-8dbb-15cfb4d2a0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1ca005-2346-417b-b353-524b6999cfe3}" ma:internalName="TaxCatchAll" ma:showField="CatchAllData" ma:web="ff7b1e22-ab07-48f5-8dbb-15cfb4d2a0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76948-969E-43DB-9B32-29B8E606D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877DC-E3D9-4DA5-9FC7-439140BC7342}">
  <ds:schemaRefs>
    <ds:schemaRef ds:uri="http://schemas.microsoft.com/office/2006/metadata/properties"/>
    <ds:schemaRef ds:uri="http://schemas.microsoft.com/office/infopath/2007/PartnerControls"/>
    <ds:schemaRef ds:uri="383cd2b4-29a4-4c64-83a8-3a562a561b0f"/>
    <ds:schemaRef ds:uri="ff7b1e22-ab07-48f5-8dbb-15cfb4d2a0b8"/>
  </ds:schemaRefs>
</ds:datastoreItem>
</file>

<file path=customXml/itemProps3.xml><?xml version="1.0" encoding="utf-8"?>
<ds:datastoreItem xmlns:ds="http://schemas.openxmlformats.org/officeDocument/2006/customXml" ds:itemID="{4D71A874-C2BA-48A4-A3A7-28CD1AB43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cd2b4-29a4-4c64-83a8-3a562a561b0f"/>
    <ds:schemaRef ds:uri="ff7b1e22-ab07-48f5-8dbb-15cfb4d2a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3630</Characters>
  <Application>Microsoft Office Word</Application>
  <DocSecurity>0</DocSecurity>
  <Lines>201</Lines>
  <Paragraphs>136</Paragraphs>
  <ScaleCrop>false</ScaleCrop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Carty</dc:creator>
  <cp:keywords/>
  <dc:description/>
  <cp:lastModifiedBy>Isabell Grundschober</cp:lastModifiedBy>
  <cp:revision>2</cp:revision>
  <dcterms:created xsi:type="dcterms:W3CDTF">2025-11-17T14:12:00Z</dcterms:created>
  <dcterms:modified xsi:type="dcterms:W3CDTF">2025-11-17T14:12:00Z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0x010100C438FF504B02D347BC6CD706FF35F33C</vt:lpwstr>
  </property>
  <property fmtid="{D5CDD505-2E9C-101B-9397-08002B2CF9AE}" pid="3" name="MediaServiceImageTags">
    <vt:lpwstr/>
  </property>
</Properties>
</file>